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6C9A" w14:textId="77676064" w:rsidR="00644D46" w:rsidRPr="00C65C28" w:rsidRDefault="00644D46" w:rsidP="00C65C28">
      <w:pPr>
        <w:pStyle w:val="NoSpacing"/>
        <w:rPr>
          <w:rStyle w:val="Strong"/>
        </w:rPr>
      </w:pPr>
      <w:bookmarkStart w:id="0" w:name="_Hlk12443154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586"/>
        <w:gridCol w:w="3984"/>
        <w:gridCol w:w="3576"/>
      </w:tblGrid>
      <w:tr w:rsidR="00644D46" w14:paraId="562992E7" w14:textId="77777777" w:rsidTr="00B37554">
        <w:tc>
          <w:tcPr>
            <w:tcW w:w="2520" w:type="dxa"/>
          </w:tcPr>
          <w:p w14:paraId="0090F768" w14:textId="38A76534" w:rsidR="00644D46" w:rsidRDefault="00D41581" w:rsidP="00644D46">
            <w:pPr>
              <w:pStyle w:val="NoSpacing"/>
              <w:jc w:val="both"/>
              <w:rPr>
                <w:rStyle w:val="Strong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8E24014" wp14:editId="3D281CCB">
                  <wp:extent cx="1504109" cy="1733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513" cy="174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4" w:type="dxa"/>
          </w:tcPr>
          <w:p w14:paraId="0DEF12C5" w14:textId="01FE912B" w:rsidR="00644D46" w:rsidRPr="00635F19" w:rsidRDefault="00BB743A" w:rsidP="00635F19">
            <w:pPr>
              <w:pStyle w:val="Heading1"/>
            </w:pPr>
            <w:r>
              <w:t>Shannon Barber</w:t>
            </w:r>
          </w:p>
          <w:p w14:paraId="27AFBA8A" w14:textId="2B80AF68" w:rsidR="00644D46" w:rsidRPr="00C65C28" w:rsidRDefault="00644D46" w:rsidP="00644D46">
            <w:pPr>
              <w:pStyle w:val="NoSpacing"/>
              <w:rPr>
                <w:rStyle w:val="Strong"/>
              </w:rPr>
            </w:pPr>
            <w:r w:rsidRPr="00C65C28">
              <w:rPr>
                <w:rStyle w:val="Strong"/>
              </w:rPr>
              <w:t>Attorney-at-Law</w:t>
            </w:r>
          </w:p>
          <w:p w14:paraId="1B940D59" w14:textId="5889D975" w:rsidR="00644D46" w:rsidRPr="00C65C28" w:rsidRDefault="00644D46" w:rsidP="00644D46">
            <w:pPr>
              <w:pStyle w:val="NoSpacing"/>
              <w:rPr>
                <w:rStyle w:val="Strong"/>
              </w:rPr>
            </w:pPr>
          </w:p>
          <w:p w14:paraId="19D0DCEC" w14:textId="77777777" w:rsidR="00644D46" w:rsidRDefault="00644D46" w:rsidP="00644D46">
            <w:pPr>
              <w:pStyle w:val="NoSpacing"/>
              <w:rPr>
                <w:rStyle w:val="Strong"/>
              </w:rPr>
            </w:pPr>
            <w:r w:rsidRPr="00C65C28">
              <w:rPr>
                <w:rStyle w:val="Strong"/>
              </w:rPr>
              <w:t>1021 ESE Loop 323</w:t>
            </w:r>
          </w:p>
          <w:p w14:paraId="7CB813CC" w14:textId="77777777" w:rsidR="00644D46" w:rsidRPr="00C65C28" w:rsidRDefault="00644D46" w:rsidP="00644D46">
            <w:pPr>
              <w:pStyle w:val="NoSpacing"/>
              <w:rPr>
                <w:rStyle w:val="Strong"/>
              </w:rPr>
            </w:pPr>
            <w:r w:rsidRPr="00C65C28">
              <w:rPr>
                <w:rStyle w:val="Strong"/>
              </w:rPr>
              <w:t>Suite 200</w:t>
            </w:r>
          </w:p>
          <w:p w14:paraId="13D0B5BB" w14:textId="77777777" w:rsidR="00644D46" w:rsidRDefault="00644D46" w:rsidP="00644D46">
            <w:pPr>
              <w:pStyle w:val="NoSpacing"/>
              <w:rPr>
                <w:rStyle w:val="Strong"/>
              </w:rPr>
            </w:pPr>
            <w:r w:rsidRPr="00C65C28">
              <w:rPr>
                <w:rStyle w:val="Strong"/>
              </w:rPr>
              <w:t>Tyler, TX 75701</w:t>
            </w:r>
          </w:p>
          <w:p w14:paraId="36DC5D4A" w14:textId="77777777" w:rsidR="00644D46" w:rsidRDefault="00644D46" w:rsidP="00644D46">
            <w:pPr>
              <w:pStyle w:val="NoSpacing"/>
              <w:rPr>
                <w:rStyle w:val="Strong"/>
              </w:rPr>
            </w:pPr>
          </w:p>
          <w:p w14:paraId="126BEE81" w14:textId="77777777" w:rsidR="003F5AFF" w:rsidRDefault="00644D46" w:rsidP="000766F8">
            <w:pPr>
              <w:pStyle w:val="NoSpacing"/>
              <w:rPr>
                <w:rStyle w:val="Strong"/>
              </w:rPr>
            </w:pPr>
            <w:r w:rsidRPr="00C65C28">
              <w:rPr>
                <w:rStyle w:val="Strong"/>
              </w:rPr>
              <w:t>903.534</w:t>
            </w:r>
            <w:r w:rsidR="00BB743A">
              <w:rPr>
                <w:rStyle w:val="Strong"/>
              </w:rPr>
              <w:t>.8063</w:t>
            </w:r>
          </w:p>
          <w:p w14:paraId="546FFE43" w14:textId="599B30F8" w:rsidR="00BB743A" w:rsidRDefault="00BB743A" w:rsidP="000766F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______@flowersdavis.com</w:t>
            </w:r>
          </w:p>
        </w:tc>
        <w:tc>
          <w:tcPr>
            <w:tcW w:w="3576" w:type="dxa"/>
            <w:vAlign w:val="center"/>
          </w:tcPr>
          <w:p w14:paraId="5806938E" w14:textId="04DBF334" w:rsidR="00644D46" w:rsidRDefault="000766F8" w:rsidP="00B3755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4A1A97EA" wp14:editId="31B28EE8">
                  <wp:extent cx="323215" cy="323215"/>
                  <wp:effectExtent l="0" t="0" r="635" b="635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86E49A" w14:textId="77777777" w:rsidR="0035085D" w:rsidRDefault="0035085D" w:rsidP="00B37554">
            <w:pPr>
              <w:pStyle w:val="NoSpacing"/>
              <w:jc w:val="center"/>
              <w:rPr>
                <w:rStyle w:val="Strong"/>
              </w:rPr>
            </w:pPr>
          </w:p>
          <w:p w14:paraId="677A33FE" w14:textId="7CBA11BC" w:rsidR="00644D46" w:rsidRDefault="00644D46" w:rsidP="00B37554">
            <w:pPr>
              <w:pStyle w:val="NoSpacing"/>
              <w:jc w:val="center"/>
              <w:rPr>
                <w:rStyle w:val="Strong"/>
              </w:rPr>
            </w:pPr>
          </w:p>
        </w:tc>
      </w:tr>
    </w:tbl>
    <w:p w14:paraId="724213FB" w14:textId="31445439" w:rsidR="00C65C28" w:rsidRDefault="00C65C28" w:rsidP="00C65C28">
      <w:pPr>
        <w:pStyle w:val="NoSpacing"/>
        <w:rPr>
          <w:rStyle w:val="Strong"/>
        </w:rPr>
      </w:pPr>
    </w:p>
    <w:p w14:paraId="526A78B1" w14:textId="77777777" w:rsidR="00CC44B3" w:rsidRDefault="00525C8F" w:rsidP="00C65C28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Shannon Barber</w:t>
      </w:r>
      <w:r w:rsidR="000615D5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joined Flowers Davis as a civil litigator in the summer of 2023</w:t>
      </w:r>
      <w:r w:rsidR="00CC44B3">
        <w:rPr>
          <w:rStyle w:val="Strong"/>
          <w:b w:val="0"/>
          <w:bCs w:val="0"/>
        </w:rPr>
        <w:t xml:space="preserve">. Her practice areas include business and commercial litigation, eminent domain/condemnation, oil and gas litigation and real estate litigation. </w:t>
      </w:r>
    </w:p>
    <w:p w14:paraId="2985669B" w14:textId="77777777" w:rsidR="00CC44B3" w:rsidRDefault="00CC44B3" w:rsidP="00C65C28">
      <w:pPr>
        <w:pStyle w:val="NoSpacing"/>
        <w:rPr>
          <w:rStyle w:val="Strong"/>
          <w:b w:val="0"/>
          <w:bCs w:val="0"/>
        </w:rPr>
      </w:pPr>
    </w:p>
    <w:p w14:paraId="2FF9D3F3" w14:textId="59A4FCDC" w:rsidR="00D41581" w:rsidRDefault="00525C8F" w:rsidP="00C65C28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Immediately prior to joining the firm, Shannon was a Felony Prosecutor for the Dallas County District Attorney’s Office. In that position, she managed a criminal docket of over 400 cases, including murder, domestic </w:t>
      </w:r>
      <w:proofErr w:type="gramStart"/>
      <w:r>
        <w:rPr>
          <w:rStyle w:val="Strong"/>
          <w:b w:val="0"/>
          <w:bCs w:val="0"/>
        </w:rPr>
        <w:t>violence</w:t>
      </w:r>
      <w:proofErr w:type="gramEnd"/>
      <w:r>
        <w:rPr>
          <w:rStyle w:val="Strong"/>
          <w:b w:val="0"/>
          <w:bCs w:val="0"/>
        </w:rPr>
        <w:t xml:space="preserve"> and assault. She disposed of hundreds of cases through pleas and completed over 30 jury trials. Her workload included weekly preparation for contested hearings, bond hearings, pre-trial </w:t>
      </w:r>
      <w:proofErr w:type="gramStart"/>
      <w:r>
        <w:rPr>
          <w:rStyle w:val="Strong"/>
          <w:b w:val="0"/>
          <w:bCs w:val="0"/>
        </w:rPr>
        <w:t>hearings</w:t>
      </w:r>
      <w:proofErr w:type="gramEnd"/>
      <w:r>
        <w:rPr>
          <w:rStyle w:val="Strong"/>
          <w:b w:val="0"/>
          <w:bCs w:val="0"/>
        </w:rPr>
        <w:t xml:space="preserve"> and trial. She had daily correspondence with victims and daily negotiations with defense attorneys, while also meeting with various law enforcement agencies, state, </w:t>
      </w:r>
      <w:proofErr w:type="gramStart"/>
      <w:r>
        <w:rPr>
          <w:rStyle w:val="Strong"/>
          <w:b w:val="0"/>
          <w:bCs w:val="0"/>
        </w:rPr>
        <w:t>agencies</w:t>
      </w:r>
      <w:proofErr w:type="gramEnd"/>
      <w:r>
        <w:rPr>
          <w:rStyle w:val="Strong"/>
          <w:b w:val="0"/>
          <w:bCs w:val="0"/>
        </w:rPr>
        <w:t xml:space="preserve"> and community organizations. Before being promoted to Felony Prosecutor, she served as the Misdemeanor Court Chief, where she supervised and managed two other attorneys</w:t>
      </w:r>
      <w:r w:rsidR="00E67836">
        <w:rPr>
          <w:rStyle w:val="Strong"/>
          <w:b w:val="0"/>
          <w:bCs w:val="0"/>
        </w:rPr>
        <w:t xml:space="preserve"> and oversaw the docket and organization of the entire court. </w:t>
      </w:r>
    </w:p>
    <w:p w14:paraId="61EE79D9" w14:textId="77777777" w:rsidR="00E67836" w:rsidRDefault="00E67836" w:rsidP="00C65C28">
      <w:pPr>
        <w:pStyle w:val="NoSpacing"/>
        <w:rPr>
          <w:rStyle w:val="Strong"/>
          <w:b w:val="0"/>
          <w:bCs w:val="0"/>
        </w:rPr>
      </w:pPr>
    </w:p>
    <w:p w14:paraId="749A3773" w14:textId="1538D905" w:rsidR="00E67836" w:rsidRDefault="00E67836" w:rsidP="00C65C28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Prior to joining the Dallas District Attorney’s Office, Shannon was a Project Attorney for Level 2 Legal in Dallas, where she provided document review services for compliance according to client regulations.</w:t>
      </w:r>
    </w:p>
    <w:p w14:paraId="77FDEA3E" w14:textId="77777777" w:rsidR="00E67836" w:rsidRDefault="00E67836" w:rsidP="00C65C28">
      <w:pPr>
        <w:pStyle w:val="NoSpacing"/>
        <w:rPr>
          <w:rStyle w:val="Strong"/>
          <w:b w:val="0"/>
          <w:bCs w:val="0"/>
        </w:rPr>
      </w:pPr>
    </w:p>
    <w:p w14:paraId="1EE371EC" w14:textId="77777777" w:rsidR="00525C8F" w:rsidRPr="00525C8F" w:rsidRDefault="00525C8F" w:rsidP="00C65C28">
      <w:pPr>
        <w:pStyle w:val="NoSpacing"/>
        <w:rPr>
          <w:rStyle w:val="Strong"/>
          <w:b w:val="0"/>
          <w:bCs w:val="0"/>
        </w:rPr>
      </w:pPr>
    </w:p>
    <w:p w14:paraId="3A0806B6" w14:textId="0ECD295A" w:rsidR="00CA4E75" w:rsidRDefault="00CC44B3" w:rsidP="00B01E7C">
      <w:pPr>
        <w:pStyle w:val="NoSpacing"/>
        <w:jc w:val="both"/>
        <w:rPr>
          <w:sz w:val="20"/>
          <w:szCs w:val="20"/>
        </w:rPr>
      </w:pPr>
      <w:r w:rsidRPr="00CC44B3">
        <w:rPr>
          <w:sz w:val="20"/>
          <w:szCs w:val="20"/>
        </w:rPr>
        <w:t>Practice Areas: Business &amp; Commercial Litigation, Eminent Domain | Condemnation, Oil &amp; Gas Litigation, Real Estate Litigation</w:t>
      </w:r>
    </w:p>
    <w:p w14:paraId="06C00BC0" w14:textId="77777777" w:rsidR="00CC44B3" w:rsidRPr="00B77958" w:rsidRDefault="00CC44B3" w:rsidP="00B01E7C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CE7B02" w14:paraId="686B9907" w14:textId="77777777" w:rsidTr="00D160BB">
        <w:tc>
          <w:tcPr>
            <w:tcW w:w="5107" w:type="dxa"/>
          </w:tcPr>
          <w:p w14:paraId="4F1437DE" w14:textId="3C0967D6" w:rsidR="00CE7B02" w:rsidRPr="00AB7175" w:rsidRDefault="007F37CF" w:rsidP="00C5077F">
            <w:pPr>
              <w:pStyle w:val="Heading2"/>
            </w:pPr>
            <w:r>
              <w:t>B</w:t>
            </w:r>
            <w:r w:rsidR="00CE7B02" w:rsidRPr="00AB7175">
              <w:t>ar Admissions</w:t>
            </w:r>
          </w:p>
          <w:p w14:paraId="55B02699" w14:textId="7DC3AE8E" w:rsidR="00CE7B02" w:rsidRDefault="00CE7B02" w:rsidP="000B7B6B">
            <w:pPr>
              <w:pStyle w:val="NoSpacing"/>
            </w:pPr>
            <w:r w:rsidRPr="00683379">
              <w:t xml:space="preserve">State Bar of Texas, </w:t>
            </w:r>
            <w:r w:rsidR="00864760">
              <w:t>May 2017</w:t>
            </w:r>
          </w:p>
          <w:p w14:paraId="61C5AB73" w14:textId="77777777" w:rsidR="00CE7B02" w:rsidRPr="00683379" w:rsidRDefault="00CE7B02" w:rsidP="00D160BB">
            <w:pPr>
              <w:pStyle w:val="NoSpacing"/>
            </w:pPr>
          </w:p>
          <w:p w14:paraId="11FBF63A" w14:textId="77777777" w:rsidR="00CE7B02" w:rsidRPr="00AB7175" w:rsidRDefault="00CE7B02" w:rsidP="00C5077F">
            <w:pPr>
              <w:pStyle w:val="Heading2"/>
            </w:pPr>
            <w:r w:rsidRPr="00AB7175">
              <w:t>Education</w:t>
            </w:r>
          </w:p>
          <w:p w14:paraId="4FC35D68" w14:textId="697A22E3" w:rsidR="00CE7B02" w:rsidRDefault="00864760" w:rsidP="000B7B6B">
            <w:pPr>
              <w:pStyle w:val="NoSpacing"/>
            </w:pPr>
            <w:r>
              <w:t>Texas A&amp;M School of Law,</w:t>
            </w:r>
            <w:r w:rsidR="00D41581">
              <w:t xml:space="preserve"> Juris Doctor</w:t>
            </w:r>
            <w:r>
              <w:t>ate,</w:t>
            </w:r>
            <w:r w:rsidR="00D41581">
              <w:t xml:space="preserve"> </w:t>
            </w:r>
            <w:r w:rsidR="001B06D3">
              <w:t xml:space="preserve">May </w:t>
            </w:r>
            <w:r w:rsidR="00D41581">
              <w:t>20</w:t>
            </w:r>
            <w:r>
              <w:t>15</w:t>
            </w:r>
          </w:p>
          <w:p w14:paraId="002B4EFA" w14:textId="13422FAC" w:rsidR="00D41581" w:rsidRPr="00683379" w:rsidRDefault="00864760" w:rsidP="000B7B6B">
            <w:pPr>
              <w:pStyle w:val="NoSpacing"/>
            </w:pPr>
            <w:r>
              <w:t>Louisiana State University, Baton Rouge, Bachelor of Arts, Sociology, December 2011</w:t>
            </w:r>
          </w:p>
          <w:p w14:paraId="14E33208" w14:textId="77777777" w:rsidR="00CE7B02" w:rsidRPr="00683379" w:rsidRDefault="00CE7B02" w:rsidP="00D160BB">
            <w:pPr>
              <w:pStyle w:val="NoSpacing"/>
            </w:pPr>
          </w:p>
          <w:p w14:paraId="67F644BC" w14:textId="77777777" w:rsidR="00864760" w:rsidRDefault="00864760" w:rsidP="00864760">
            <w:pPr>
              <w:pStyle w:val="Heading2"/>
            </w:pPr>
            <w:r>
              <w:t>Memberships</w:t>
            </w:r>
          </w:p>
          <w:p w14:paraId="6DB7DD33" w14:textId="77777777" w:rsidR="00864760" w:rsidRDefault="00864760" w:rsidP="00864760">
            <w:pPr>
              <w:pStyle w:val="NoSpacing"/>
            </w:pPr>
            <w:r>
              <w:t>State Bar of Texas</w:t>
            </w:r>
          </w:p>
          <w:p w14:paraId="3FAAFCF0" w14:textId="41ADE5DD" w:rsidR="00D41581" w:rsidRPr="000766F8" w:rsidRDefault="00864760" w:rsidP="00864760">
            <w:pPr>
              <w:pStyle w:val="NoSpacing"/>
            </w:pPr>
            <w:r>
              <w:t>Dallas Young Lawyers Association, Member</w:t>
            </w:r>
          </w:p>
        </w:tc>
        <w:tc>
          <w:tcPr>
            <w:tcW w:w="5107" w:type="dxa"/>
          </w:tcPr>
          <w:p w14:paraId="646D5580" w14:textId="067C2AFF" w:rsidR="00CE7B02" w:rsidRPr="00AB7175" w:rsidRDefault="00CE7B02" w:rsidP="00C5077F">
            <w:pPr>
              <w:pStyle w:val="Heading2"/>
            </w:pPr>
            <w:r w:rsidRPr="00AB7175">
              <w:t>Honors and Awards</w:t>
            </w:r>
          </w:p>
          <w:p w14:paraId="4BB96778" w14:textId="614912E6" w:rsidR="00D41581" w:rsidRDefault="00864760" w:rsidP="00C5077F">
            <w:pPr>
              <w:pStyle w:val="NoSpacing"/>
            </w:pPr>
            <w:r>
              <w:t>Frederick Douglas Moot Court Competition, Regional 3</w:t>
            </w:r>
            <w:r w:rsidRPr="00864760">
              <w:rPr>
                <w:vertAlign w:val="superscript"/>
              </w:rPr>
              <w:t>rd</w:t>
            </w:r>
            <w:r>
              <w:t xml:space="preserve"> Place, 2015</w:t>
            </w:r>
          </w:p>
          <w:p w14:paraId="44D8D968" w14:textId="59134A8F" w:rsidR="00864760" w:rsidRDefault="00864760" w:rsidP="00C5077F">
            <w:pPr>
              <w:pStyle w:val="NoSpacing"/>
            </w:pPr>
            <w:r>
              <w:t>Frederick Douglas Moot Court Competition, Best Brief, 2014</w:t>
            </w:r>
          </w:p>
          <w:p w14:paraId="26C1D142" w14:textId="77777777" w:rsidR="00864760" w:rsidRDefault="00864760" w:rsidP="00C5077F">
            <w:pPr>
              <w:pStyle w:val="NoSpacing"/>
            </w:pPr>
          </w:p>
          <w:p w14:paraId="18E9991A" w14:textId="77777777" w:rsidR="00D41581" w:rsidRPr="00AB7175" w:rsidRDefault="00D41581" w:rsidP="00D41581">
            <w:pPr>
              <w:pStyle w:val="Heading2"/>
            </w:pPr>
            <w:r w:rsidRPr="00AB7175">
              <w:t>Extracurricular</w:t>
            </w:r>
          </w:p>
          <w:p w14:paraId="5B619652" w14:textId="77777777" w:rsidR="00D41581" w:rsidRDefault="00864760" w:rsidP="00B23E35">
            <w:pPr>
              <w:pStyle w:val="NoSpacing"/>
            </w:pPr>
            <w:r w:rsidRPr="00864760">
              <w:t>Alpha Kappa Alpha Sorority, Member</w:t>
            </w:r>
          </w:p>
          <w:p w14:paraId="724E7D71" w14:textId="4A4DB037" w:rsidR="00864760" w:rsidRDefault="00864760" w:rsidP="00B23E35">
            <w:pPr>
              <w:pStyle w:val="NoSpacing"/>
            </w:pPr>
            <w:r>
              <w:t>National Order of Barristers, 2015</w:t>
            </w:r>
          </w:p>
          <w:p w14:paraId="16C9E278" w14:textId="53AD5ACE" w:rsidR="00864760" w:rsidRDefault="00864760" w:rsidP="00B23E35">
            <w:pPr>
              <w:pStyle w:val="NoSpacing"/>
            </w:pPr>
            <w:r>
              <w:t>Mahon Inns of Court, Pupil, 2015</w:t>
            </w:r>
          </w:p>
          <w:p w14:paraId="15B81FEC" w14:textId="77777777" w:rsidR="00864760" w:rsidRDefault="00864760" w:rsidP="00B23E35">
            <w:pPr>
              <w:pStyle w:val="NoSpacing"/>
            </w:pPr>
          </w:p>
          <w:p w14:paraId="28AC5930" w14:textId="77777777" w:rsidR="00864760" w:rsidRDefault="00864760" w:rsidP="00864760">
            <w:pPr>
              <w:pStyle w:val="Heading2"/>
            </w:pPr>
            <w:r>
              <w:t>Community Involvement</w:t>
            </w:r>
          </w:p>
          <w:p w14:paraId="6A1FFE4C" w14:textId="173A0F99" w:rsidR="00864760" w:rsidRPr="00864760" w:rsidRDefault="00864760" w:rsidP="00B23E35">
            <w:pPr>
              <w:pStyle w:val="NoSpacing"/>
            </w:pPr>
            <w:r>
              <w:t>ONE Community Church, Dallas, Member</w:t>
            </w:r>
          </w:p>
        </w:tc>
      </w:tr>
      <w:bookmarkEnd w:id="0"/>
    </w:tbl>
    <w:p w14:paraId="2BBC38F0" w14:textId="6EE115FE" w:rsidR="000766F8" w:rsidRDefault="000766F8" w:rsidP="00C65C28">
      <w:pPr>
        <w:pStyle w:val="NoSpacing"/>
      </w:pPr>
    </w:p>
    <w:sectPr w:rsidR="000766F8" w:rsidSect="00282EDF">
      <w:headerReference w:type="default" r:id="rId10"/>
      <w:footerReference w:type="default" r:id="rId11"/>
      <w:pgSz w:w="12240" w:h="15840"/>
      <w:pgMar w:top="1152" w:right="1008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91AB" w14:textId="77777777" w:rsidR="00F13C53" w:rsidRDefault="00F13C53" w:rsidP="00C65C28">
      <w:pPr>
        <w:spacing w:after="0" w:line="240" w:lineRule="auto"/>
      </w:pPr>
      <w:r>
        <w:separator/>
      </w:r>
    </w:p>
  </w:endnote>
  <w:endnote w:type="continuationSeparator" w:id="0">
    <w:p w14:paraId="5D402E3D" w14:textId="77777777" w:rsidR="00F13C53" w:rsidRDefault="00F13C53" w:rsidP="00C6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9696" w14:textId="728A410B" w:rsidR="00C65C28" w:rsidRDefault="00CA4E75">
    <w:pPr>
      <w:pStyle w:val="Footer"/>
    </w:pPr>
    <w:r>
      <w:t>2023.0</w:t>
    </w:r>
    <w:r w:rsidR="00864760">
      <w:t>8 Shannon Barber</w:t>
    </w:r>
    <w:r w:rsidR="00282EDF">
      <w:t xml:space="preserve"> </w:t>
    </w:r>
    <w:r w:rsidR="00282EDF">
      <w:ptab w:relativeTo="margin" w:alignment="center" w:leader="none"/>
    </w:r>
    <w:r w:rsidR="00282EDF">
      <w:ptab w:relativeTo="margin" w:alignment="right" w:leader="none"/>
    </w:r>
    <w:r w:rsidR="00282EDF">
      <w:fldChar w:fldCharType="begin"/>
    </w:r>
    <w:r w:rsidR="00282EDF">
      <w:instrText xml:space="preserve"> PAGE   \* MERGEFORMAT </w:instrText>
    </w:r>
    <w:r w:rsidR="00282EDF">
      <w:fldChar w:fldCharType="separate"/>
    </w:r>
    <w:r w:rsidR="003E7ABD">
      <w:rPr>
        <w:noProof/>
      </w:rPr>
      <w:t>1</w:t>
    </w:r>
    <w:r w:rsidR="00282E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9FB8" w14:textId="77777777" w:rsidR="00F13C53" w:rsidRDefault="00F13C53" w:rsidP="00C65C28">
      <w:pPr>
        <w:spacing w:after="0" w:line="240" w:lineRule="auto"/>
      </w:pPr>
      <w:r>
        <w:separator/>
      </w:r>
    </w:p>
  </w:footnote>
  <w:footnote w:type="continuationSeparator" w:id="0">
    <w:p w14:paraId="1F23901D" w14:textId="77777777" w:rsidR="00F13C53" w:rsidRDefault="00F13C53" w:rsidP="00C6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72D4" w14:textId="3B2FB5E9" w:rsidR="00C65C28" w:rsidRDefault="00C65C28" w:rsidP="00C65C28">
    <w:pPr>
      <w:pStyle w:val="Header"/>
    </w:pPr>
    <w:r>
      <w:rPr>
        <w:noProof/>
      </w:rPr>
      <w:drawing>
        <wp:inline distT="0" distB="0" distL="0" distR="0" wp14:anchorId="30628662" wp14:editId="1DABBBAE">
          <wp:extent cx="2139696" cy="274320"/>
          <wp:effectExtent l="0" t="0" r="0" b="0"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owers Davis Logo 2014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8EE"/>
    <w:multiLevelType w:val="hybridMultilevel"/>
    <w:tmpl w:val="2BAA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DCF"/>
    <w:multiLevelType w:val="hybridMultilevel"/>
    <w:tmpl w:val="793A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67D4"/>
    <w:multiLevelType w:val="hybridMultilevel"/>
    <w:tmpl w:val="E57A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3A2"/>
    <w:multiLevelType w:val="hybridMultilevel"/>
    <w:tmpl w:val="1B42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F5F"/>
    <w:multiLevelType w:val="hybridMultilevel"/>
    <w:tmpl w:val="32F66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25009"/>
    <w:multiLevelType w:val="hybridMultilevel"/>
    <w:tmpl w:val="4EA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0BB9"/>
    <w:multiLevelType w:val="hybridMultilevel"/>
    <w:tmpl w:val="D0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4515"/>
    <w:multiLevelType w:val="hybridMultilevel"/>
    <w:tmpl w:val="108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D19C7"/>
    <w:multiLevelType w:val="hybridMultilevel"/>
    <w:tmpl w:val="9B9C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D02A1"/>
    <w:multiLevelType w:val="hybridMultilevel"/>
    <w:tmpl w:val="FDC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6B86"/>
    <w:multiLevelType w:val="hybridMultilevel"/>
    <w:tmpl w:val="9302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8B3"/>
    <w:multiLevelType w:val="hybridMultilevel"/>
    <w:tmpl w:val="6C5C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039D0"/>
    <w:multiLevelType w:val="hybridMultilevel"/>
    <w:tmpl w:val="439C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04314"/>
    <w:multiLevelType w:val="hybridMultilevel"/>
    <w:tmpl w:val="49E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6A33"/>
    <w:multiLevelType w:val="hybridMultilevel"/>
    <w:tmpl w:val="D65E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43E7"/>
    <w:multiLevelType w:val="hybridMultilevel"/>
    <w:tmpl w:val="893A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722BD"/>
    <w:multiLevelType w:val="hybridMultilevel"/>
    <w:tmpl w:val="D43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CD9"/>
    <w:multiLevelType w:val="hybridMultilevel"/>
    <w:tmpl w:val="5328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6E09"/>
    <w:multiLevelType w:val="hybridMultilevel"/>
    <w:tmpl w:val="BB72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B3490"/>
    <w:multiLevelType w:val="hybridMultilevel"/>
    <w:tmpl w:val="7332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7D52"/>
    <w:multiLevelType w:val="hybridMultilevel"/>
    <w:tmpl w:val="0A5E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84E"/>
    <w:multiLevelType w:val="hybridMultilevel"/>
    <w:tmpl w:val="8FE6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413A1"/>
    <w:multiLevelType w:val="hybridMultilevel"/>
    <w:tmpl w:val="6DC0E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E12955"/>
    <w:multiLevelType w:val="hybridMultilevel"/>
    <w:tmpl w:val="EB14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D5190"/>
    <w:multiLevelType w:val="hybridMultilevel"/>
    <w:tmpl w:val="94C4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E45F1"/>
    <w:multiLevelType w:val="hybridMultilevel"/>
    <w:tmpl w:val="DAE2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4E77"/>
    <w:multiLevelType w:val="hybridMultilevel"/>
    <w:tmpl w:val="F128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656FC"/>
    <w:multiLevelType w:val="hybridMultilevel"/>
    <w:tmpl w:val="CFBE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57498">
    <w:abstractNumId w:val="22"/>
  </w:num>
  <w:num w:numId="2" w16cid:durableId="1455177071">
    <w:abstractNumId w:val="4"/>
  </w:num>
  <w:num w:numId="3" w16cid:durableId="2089307969">
    <w:abstractNumId w:val="13"/>
  </w:num>
  <w:num w:numId="4" w16cid:durableId="245506492">
    <w:abstractNumId w:val="10"/>
  </w:num>
  <w:num w:numId="5" w16cid:durableId="1899851763">
    <w:abstractNumId w:val="15"/>
  </w:num>
  <w:num w:numId="6" w16cid:durableId="204292035">
    <w:abstractNumId w:val="5"/>
  </w:num>
  <w:num w:numId="7" w16cid:durableId="156922140">
    <w:abstractNumId w:val="9"/>
  </w:num>
  <w:num w:numId="8" w16cid:durableId="1706711597">
    <w:abstractNumId w:val="16"/>
  </w:num>
  <w:num w:numId="9" w16cid:durableId="1617057178">
    <w:abstractNumId w:val="17"/>
  </w:num>
  <w:num w:numId="10" w16cid:durableId="384137663">
    <w:abstractNumId w:val="18"/>
  </w:num>
  <w:num w:numId="11" w16cid:durableId="1828279711">
    <w:abstractNumId w:val="0"/>
  </w:num>
  <w:num w:numId="12" w16cid:durableId="914240106">
    <w:abstractNumId w:val="11"/>
  </w:num>
  <w:num w:numId="13" w16cid:durableId="1928419007">
    <w:abstractNumId w:val="8"/>
  </w:num>
  <w:num w:numId="14" w16cid:durableId="1000155524">
    <w:abstractNumId w:val="20"/>
  </w:num>
  <w:num w:numId="15" w16cid:durableId="379482934">
    <w:abstractNumId w:val="25"/>
  </w:num>
  <w:num w:numId="16" w16cid:durableId="1110516076">
    <w:abstractNumId w:val="23"/>
  </w:num>
  <w:num w:numId="17" w16cid:durableId="1983919604">
    <w:abstractNumId w:val="19"/>
  </w:num>
  <w:num w:numId="18" w16cid:durableId="1611165070">
    <w:abstractNumId w:val="21"/>
  </w:num>
  <w:num w:numId="19" w16cid:durableId="1235621824">
    <w:abstractNumId w:val="27"/>
  </w:num>
  <w:num w:numId="20" w16cid:durableId="120536047">
    <w:abstractNumId w:val="12"/>
  </w:num>
  <w:num w:numId="21" w16cid:durableId="96296679">
    <w:abstractNumId w:val="26"/>
  </w:num>
  <w:num w:numId="22" w16cid:durableId="536478508">
    <w:abstractNumId w:val="1"/>
  </w:num>
  <w:num w:numId="23" w16cid:durableId="1445536141">
    <w:abstractNumId w:val="24"/>
  </w:num>
  <w:num w:numId="24" w16cid:durableId="1230963542">
    <w:abstractNumId w:val="7"/>
  </w:num>
  <w:num w:numId="25" w16cid:durableId="530998223">
    <w:abstractNumId w:val="2"/>
  </w:num>
  <w:num w:numId="26" w16cid:durableId="2059815520">
    <w:abstractNumId w:val="6"/>
  </w:num>
  <w:num w:numId="27" w16cid:durableId="1534683300">
    <w:abstractNumId w:val="14"/>
  </w:num>
  <w:num w:numId="28" w16cid:durableId="1473870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zNDAyNjayNDI1szRW0lEKTi0uzszPAykwrwUAKYfTzSwAAAA="/>
  </w:docVars>
  <w:rsids>
    <w:rsidRoot w:val="00C65C28"/>
    <w:rsid w:val="00014029"/>
    <w:rsid w:val="00037E52"/>
    <w:rsid w:val="000615D5"/>
    <w:rsid w:val="00066BA4"/>
    <w:rsid w:val="000766F8"/>
    <w:rsid w:val="000819F4"/>
    <w:rsid w:val="000B7B6B"/>
    <w:rsid w:val="000E27FB"/>
    <w:rsid w:val="00181691"/>
    <w:rsid w:val="001B06D3"/>
    <w:rsid w:val="001F32F5"/>
    <w:rsid w:val="00211221"/>
    <w:rsid w:val="00211269"/>
    <w:rsid w:val="002270C0"/>
    <w:rsid w:val="00282EDF"/>
    <w:rsid w:val="0029434D"/>
    <w:rsid w:val="002B0E03"/>
    <w:rsid w:val="0035085D"/>
    <w:rsid w:val="003855CE"/>
    <w:rsid w:val="003E7ABD"/>
    <w:rsid w:val="003F5AFF"/>
    <w:rsid w:val="00430FAE"/>
    <w:rsid w:val="00485417"/>
    <w:rsid w:val="00525C8F"/>
    <w:rsid w:val="005C4D1A"/>
    <w:rsid w:val="005D4836"/>
    <w:rsid w:val="00635F19"/>
    <w:rsid w:val="00644D46"/>
    <w:rsid w:val="00673C0F"/>
    <w:rsid w:val="00680888"/>
    <w:rsid w:val="00683379"/>
    <w:rsid w:val="00690AA8"/>
    <w:rsid w:val="006B4170"/>
    <w:rsid w:val="006B63D7"/>
    <w:rsid w:val="00734A6F"/>
    <w:rsid w:val="00752B73"/>
    <w:rsid w:val="00754056"/>
    <w:rsid w:val="007F37CF"/>
    <w:rsid w:val="00803E7D"/>
    <w:rsid w:val="00812169"/>
    <w:rsid w:val="00864760"/>
    <w:rsid w:val="008C01FC"/>
    <w:rsid w:val="00957EBC"/>
    <w:rsid w:val="00A21484"/>
    <w:rsid w:val="00AB7175"/>
    <w:rsid w:val="00AC28A8"/>
    <w:rsid w:val="00AD56BE"/>
    <w:rsid w:val="00AE79B5"/>
    <w:rsid w:val="00B01E7C"/>
    <w:rsid w:val="00B23E35"/>
    <w:rsid w:val="00B37554"/>
    <w:rsid w:val="00B77958"/>
    <w:rsid w:val="00BB35B5"/>
    <w:rsid w:val="00BB743A"/>
    <w:rsid w:val="00BE3DCF"/>
    <w:rsid w:val="00C3668E"/>
    <w:rsid w:val="00C5077F"/>
    <w:rsid w:val="00C65C28"/>
    <w:rsid w:val="00C96C47"/>
    <w:rsid w:val="00CA4E75"/>
    <w:rsid w:val="00CC44B3"/>
    <w:rsid w:val="00CE7B02"/>
    <w:rsid w:val="00D41581"/>
    <w:rsid w:val="00E0417B"/>
    <w:rsid w:val="00E67836"/>
    <w:rsid w:val="00E77BB2"/>
    <w:rsid w:val="00F125CA"/>
    <w:rsid w:val="00F13C53"/>
    <w:rsid w:val="00F759F6"/>
    <w:rsid w:val="00F90B47"/>
    <w:rsid w:val="00F9194F"/>
    <w:rsid w:val="00F94604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0B80B"/>
  <w15:chartTrackingRefBased/>
  <w15:docId w15:val="{86025214-791B-4D73-B9DE-ABA7CECE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28"/>
  </w:style>
  <w:style w:type="paragraph" w:styleId="Footer">
    <w:name w:val="footer"/>
    <w:basedOn w:val="Normal"/>
    <w:link w:val="FooterChar"/>
    <w:uiPriority w:val="99"/>
    <w:unhideWhenUsed/>
    <w:qFormat/>
    <w:rsid w:val="00C6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28"/>
  </w:style>
  <w:style w:type="paragraph" w:styleId="NoSpacing">
    <w:name w:val="No Spacing"/>
    <w:uiPriority w:val="1"/>
    <w:qFormat/>
    <w:rsid w:val="00C65C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5C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C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65C28"/>
    <w:rPr>
      <w:b/>
      <w:bCs/>
    </w:rPr>
  </w:style>
  <w:style w:type="table" w:styleId="TableGrid">
    <w:name w:val="Table Grid"/>
    <w:basedOn w:val="TableNormal"/>
    <w:uiPriority w:val="39"/>
    <w:rsid w:val="0064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085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50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non-barber-esq-11b7b77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Fain</dc:creator>
  <cp:keywords/>
  <dc:description/>
  <cp:lastModifiedBy>Janna Fain</cp:lastModifiedBy>
  <cp:revision>5</cp:revision>
  <cp:lastPrinted>2019-08-08T18:55:00Z</cp:lastPrinted>
  <dcterms:created xsi:type="dcterms:W3CDTF">2023-08-01T21:32:00Z</dcterms:created>
  <dcterms:modified xsi:type="dcterms:W3CDTF">2023-08-02T16:56:00Z</dcterms:modified>
</cp:coreProperties>
</file>